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D72" w:rsidRDefault="0031787A" w:rsidP="00E33F32">
      <w:pPr>
        <w:pStyle w:val="Titul1"/>
      </w:pPr>
      <w:bookmarkStart w:id="0" w:name="_GoBack"/>
      <w:bookmarkEnd w:id="0"/>
      <w:r>
        <w:t>P</w:t>
      </w:r>
      <w:r w:rsidR="00E33F32">
        <w:t>říloha k</w:t>
      </w:r>
      <w:r w:rsidR="009A1658">
        <w:t> </w:t>
      </w:r>
      <w:r w:rsidR="00E33F32">
        <w:t>nabídce</w:t>
      </w:r>
    </w:p>
    <w:p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rsidR="00B172EC" w:rsidRPr="0017695A" w:rsidRDefault="00DC79B7" w:rsidP="00352421">
          <w:pPr>
            <w:pStyle w:val="Titul2"/>
          </w:pPr>
          <w:r w:rsidRPr="00DC79B7">
            <w:rPr>
              <w:rStyle w:val="Nzevakce"/>
              <w:b/>
            </w:rPr>
            <w:t>„Sanace nestabilních náspů zemního tělesa v úseku Hájek - Dalovice “</w:t>
          </w:r>
          <w:r w:rsidRPr="00DC79B7">
            <w:rPr>
              <w:rStyle w:val="Nzevakce"/>
              <w:b/>
            </w:rPr>
            <w:br/>
          </w:r>
        </w:p>
      </w:sdtContent>
    </w:sdt>
    <w:p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E33F32">
      <w:pPr>
        <w:pStyle w:val="Nadpisbezsl1-2"/>
      </w:pPr>
      <w:proofErr w:type="gramStart"/>
      <w:r>
        <w:t>1.1.2.2  Název</w:t>
      </w:r>
      <w:proofErr w:type="gramEnd"/>
      <w:r w:rsidR="00582C15">
        <w:t xml:space="preserve"> a </w:t>
      </w:r>
      <w:r w:rsidRPr="00E33F32">
        <w:t>adresa</w:t>
      </w:r>
      <w:r>
        <w:t xml:space="preserve">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E33F32">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E33F32">
      <w:pPr>
        <w:pStyle w:val="Nadpisbezsl1-2"/>
      </w:pPr>
      <w:proofErr w:type="gramStart"/>
      <w:r>
        <w:t>1.1.2.4  Jméno</w:t>
      </w:r>
      <w:proofErr w:type="gramEnd"/>
      <w:r>
        <w:t xml:space="preserve"> (název)</w:t>
      </w:r>
      <w:r w:rsidR="00582C15">
        <w:t xml:space="preserve"> a </w:t>
      </w:r>
      <w:r>
        <w:t>adresa Správce stavby</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Miloš Vyhnálek</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Správa železniční dopravní cesty, státní organizace</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Stavební správa západ</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Sokolovská 278/1955, 190 00 Praha 9</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 xml:space="preserve">Pracoviště: </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Sušická 25, 326 00 Plzeň</w:t>
      </w:r>
    </w:p>
    <w:p w:rsidR="00DC79B7" w:rsidRPr="00DC79B7" w:rsidRDefault="00DC79B7" w:rsidP="00DC79B7">
      <w:pPr>
        <w:pStyle w:val="PlnabPodnadpis"/>
        <w:spacing w:after="0"/>
        <w:rPr>
          <w:rFonts w:asciiTheme="minorHAnsi" w:hAnsiTheme="minorHAnsi"/>
          <w:sz w:val="18"/>
          <w:szCs w:val="18"/>
        </w:rPr>
      </w:pPr>
      <w:r w:rsidRPr="00DC79B7">
        <w:rPr>
          <w:rFonts w:asciiTheme="minorHAnsi" w:hAnsiTheme="minorHAnsi"/>
          <w:sz w:val="18"/>
          <w:szCs w:val="18"/>
        </w:rPr>
        <w:t>tel. 727 874 318, e-mail: VyhnalekM@szdc.cz</w:t>
      </w:r>
    </w:p>
    <w:p w:rsidR="00C96E7C" w:rsidRDefault="00C96E7C" w:rsidP="00E33F32">
      <w:pPr>
        <w:pStyle w:val="Nadpisbezsl1-2"/>
      </w:pPr>
      <w:proofErr w:type="gramStart"/>
      <w:r>
        <w:t>1.1.4.</w:t>
      </w:r>
      <w:r w:rsidRPr="002B06D2">
        <w:t>1</w:t>
      </w:r>
      <w:r w:rsidR="00730A60" w:rsidRPr="002B06D2">
        <w:t>7</w:t>
      </w:r>
      <w:r w:rsidRPr="002B06D2">
        <w:t xml:space="preserve"> </w:t>
      </w:r>
      <w:r>
        <w:t xml:space="preserve"> Faktura</w:t>
      </w:r>
      <w:proofErr w:type="gramEnd"/>
    </w:p>
    <w:p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Pr="0017695A" w:rsidRDefault="00C96E7C" w:rsidP="005B7883">
      <w:pPr>
        <w:pStyle w:val="Textbezodsazen"/>
      </w:pPr>
      <w:r>
        <w:lastRenderedPageBreak/>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rsidR="00C96E7C" w:rsidRDefault="00C96E7C" w:rsidP="00E33F32">
      <w:pPr>
        <w:pStyle w:val="Nadpisbezsl1-2"/>
      </w:pPr>
      <w:proofErr w:type="gramStart"/>
      <w:r>
        <w:t>1.1.5.6  Definice</w:t>
      </w:r>
      <w:proofErr w:type="gramEnd"/>
      <w:r>
        <w:t xml:space="preserve"> sekcí </w:t>
      </w:r>
    </w:p>
    <w:p w:rsidR="00E41EEA" w:rsidRDefault="00DC79B7" w:rsidP="00C732F0">
      <w:pPr>
        <w:pStyle w:val="Bezmezer"/>
        <w:jc w:val="both"/>
      </w:pPr>
      <w:r w:rsidRPr="00DC79B7">
        <w:t>Sekce nejsou specifikovány.</w:t>
      </w:r>
    </w:p>
    <w:p w:rsidR="00C96E7C" w:rsidRDefault="00C96E7C" w:rsidP="00E33F32">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DC79B7" w:rsidRPr="00DC79B7">
        <w:t xml:space="preserve"> </w:t>
      </w:r>
      <w:proofErr w:type="spellStart"/>
      <w:r w:rsidR="00DC79B7" w:rsidRPr="00DC79B7">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E33F32">
      <w:pPr>
        <w:pStyle w:val="Nadpisbezsl1-2"/>
      </w:pPr>
      <w:r>
        <w:t>1.4</w:t>
      </w:r>
      <w:r w:rsidR="005D168C">
        <w:t xml:space="preserve">  </w:t>
      </w:r>
      <w:r w:rsidR="005D168C">
        <w:tab/>
      </w:r>
      <w:r>
        <w:t>Rozhodné právo</w:t>
      </w:r>
      <w:r w:rsidR="005D168C">
        <w:t xml:space="preserve"> </w:t>
      </w:r>
    </w:p>
    <w:p w:rsidR="00C96E7C" w:rsidRDefault="00C96E7C" w:rsidP="005D168C">
      <w:pPr>
        <w:pStyle w:val="Textbezodsazen"/>
      </w:pPr>
      <w:r>
        <w:t>Smlouva se řídí českým právem.</w:t>
      </w:r>
    </w:p>
    <w:p w:rsidR="00C96E7C" w:rsidRDefault="00C96E7C" w:rsidP="00E33F32">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E33F32">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E33F32">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E33F32">
      <w:pPr>
        <w:pStyle w:val="Nadpisbezsl1-2"/>
      </w:pPr>
      <w:proofErr w:type="gramStart"/>
      <w:r>
        <w:t>2.1  Právo</w:t>
      </w:r>
      <w:proofErr w:type="gramEnd"/>
      <w:r>
        <w:t xml:space="preserve"> přístupu na staveniště</w:t>
      </w:r>
    </w:p>
    <w:p w:rsidR="00C96E7C" w:rsidRDefault="00C96E7C" w:rsidP="005D168C">
      <w:pPr>
        <w:pStyle w:val="Textbezodsazen"/>
      </w:pPr>
      <w:r>
        <w:t xml:space="preserve">Přístup na Staveniště bude Zhotoviteli umožněn od </w:t>
      </w:r>
      <w:r w:rsidR="00DC79B7" w:rsidRPr="00DC79B7">
        <w:t xml:space="preserve">předání staveniště </w:t>
      </w:r>
      <w:r>
        <w:t>do dne předání Dokumentů souvisejících</w:t>
      </w:r>
      <w:r w:rsidR="00582C15">
        <w:t xml:space="preserve"> s </w:t>
      </w:r>
      <w:r>
        <w:t xml:space="preserve">předáním Díla dle pod-článku 7.9. </w:t>
      </w:r>
    </w:p>
    <w:p w:rsidR="00C96E7C" w:rsidRDefault="00C96E7C" w:rsidP="00E33F32">
      <w:pPr>
        <w:pStyle w:val="Nadpisbezsl1-2"/>
      </w:pPr>
      <w:proofErr w:type="gramStart"/>
      <w:r>
        <w:t>2.3  Personál</w:t>
      </w:r>
      <w:proofErr w:type="gramEnd"/>
      <w:r>
        <w:t xml:space="preserve">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DC79B7" w:rsidRDefault="00DC79B7" w:rsidP="00DC79B7">
      <w:pPr>
        <w:pStyle w:val="Textbezodsazen"/>
      </w:pPr>
      <w:r>
        <w:lastRenderedPageBreak/>
        <w:t>Mgr. Štěpán Hošna</w:t>
      </w:r>
    </w:p>
    <w:p w:rsidR="00DC79B7" w:rsidRDefault="00DC79B7" w:rsidP="00DC79B7">
      <w:pPr>
        <w:pStyle w:val="Textbezodsazen"/>
      </w:pPr>
      <w:r>
        <w:t>Správa železniční dopravní cesty, státní organizace</w:t>
      </w:r>
    </w:p>
    <w:p w:rsidR="00DC79B7" w:rsidRDefault="00DC79B7" w:rsidP="00DC79B7">
      <w:pPr>
        <w:pStyle w:val="Textbezodsazen"/>
      </w:pPr>
      <w:r>
        <w:t>Stavební správa západ</w:t>
      </w:r>
    </w:p>
    <w:p w:rsidR="00DC79B7" w:rsidRDefault="00DC79B7" w:rsidP="00DC79B7">
      <w:pPr>
        <w:pStyle w:val="Textbezodsazen"/>
      </w:pPr>
      <w:r>
        <w:t xml:space="preserve">Sokolovská 278/1955, 190 00 Praha </w:t>
      </w:r>
    </w:p>
    <w:p w:rsidR="00DC79B7" w:rsidRDefault="00DC79B7" w:rsidP="00DC79B7">
      <w:pPr>
        <w:pStyle w:val="Textbezodsazen"/>
        <w:rPr>
          <w:highlight w:val="green"/>
        </w:rPr>
      </w:pPr>
      <w:r>
        <w:t>tel. 972 244 874, mobil 724 050 453, e-mail: Hosna@szdc.cz</w:t>
      </w:r>
    </w:p>
    <w:p w:rsidR="008850CB" w:rsidRDefault="008850CB" w:rsidP="005D168C">
      <w:pPr>
        <w:pStyle w:val="Textbezodsazen"/>
      </w:pPr>
      <w:r>
        <w:t>Ve věcech technických</w:t>
      </w:r>
    </w:p>
    <w:p w:rsidR="00DC79B7" w:rsidRDefault="00DC79B7" w:rsidP="00DC79B7">
      <w:pPr>
        <w:pStyle w:val="Textbezodsazen"/>
      </w:pPr>
      <w:r>
        <w:t>Ing. Dalibor Dolejší</w:t>
      </w:r>
    </w:p>
    <w:p w:rsidR="00DC79B7" w:rsidRDefault="00DC79B7" w:rsidP="00DC79B7">
      <w:pPr>
        <w:pStyle w:val="Textbezodsazen"/>
      </w:pPr>
      <w:r>
        <w:t>Správa železniční dopravní cesty, státní organizace</w:t>
      </w:r>
    </w:p>
    <w:p w:rsidR="00DC79B7" w:rsidRDefault="00DC79B7" w:rsidP="00DC79B7">
      <w:pPr>
        <w:pStyle w:val="Textbezodsazen"/>
      </w:pPr>
      <w:r>
        <w:t xml:space="preserve">Stavební správa západ </w:t>
      </w:r>
    </w:p>
    <w:p w:rsidR="00DC79B7" w:rsidRDefault="00DC79B7" w:rsidP="00DC79B7">
      <w:pPr>
        <w:pStyle w:val="Textbezodsazen"/>
      </w:pPr>
      <w:r>
        <w:t>Sušická 1105/25, 326 00 Plzeň</w:t>
      </w:r>
    </w:p>
    <w:p w:rsidR="00DC79B7" w:rsidRDefault="00DC79B7" w:rsidP="00DC79B7">
      <w:pPr>
        <w:pStyle w:val="Textbezodsazen"/>
        <w:rPr>
          <w:highlight w:val="green"/>
        </w:rPr>
      </w:pPr>
      <w:r>
        <w:t>tel. 972 524 072, mobil: 725 558 126, e-mail: DolejsiD@szdc.cz</w:t>
      </w:r>
    </w:p>
    <w:p w:rsidR="00C96E7C" w:rsidRDefault="00C96E7C" w:rsidP="00E33F32">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E33F32">
      <w:pPr>
        <w:pStyle w:val="Nadpisbezsl1-2"/>
      </w:pPr>
      <w:r>
        <w:t>4.2 Zajištění splnění smlouvy</w:t>
      </w:r>
    </w:p>
    <w:p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E33F32">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9B641A" w:rsidRDefault="00C96E7C" w:rsidP="00E33F32">
      <w:pPr>
        <w:pStyle w:val="Nadpisbezsl1-2"/>
      </w:pPr>
      <w:proofErr w:type="gramStart"/>
      <w:r w:rsidRPr="009B641A">
        <w:t xml:space="preserve">4.27  </w:t>
      </w:r>
      <w:r w:rsidRPr="008850CB">
        <w:t>Smluvní</w:t>
      </w:r>
      <w:proofErr w:type="gramEnd"/>
      <w:r w:rsidRPr="008850CB">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871FA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lastRenderedPageBreak/>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rsidR="00C96E7C" w:rsidRPr="00871FAC" w:rsidRDefault="00C96E7C" w:rsidP="00871FAC">
      <w:pPr>
        <w:pStyle w:val="Textbezodsazen"/>
        <w:rPr>
          <w:rStyle w:val="Tun"/>
        </w:rPr>
      </w:pPr>
      <w:r w:rsidRPr="00871FAC">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lastRenderedPageBreak/>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Default="00C96E7C" w:rsidP="005B7883">
      <w:pPr>
        <w:pStyle w:val="Textbezodsazen"/>
        <w:rPr>
          <w:rStyle w:val="Tun"/>
        </w:rPr>
      </w:pPr>
      <w:r w:rsidRPr="005B7883">
        <w:rPr>
          <w:rStyle w:val="Tun"/>
        </w:rPr>
        <w:t>Pod-článek 4.27 (r)</w:t>
      </w:r>
    </w:p>
    <w:p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rsidR="00D136A2" w:rsidRDefault="00D136A2" w:rsidP="00D136A2">
      <w:pPr>
        <w:spacing w:after="120"/>
        <w:jc w:val="both"/>
        <w:rPr>
          <w:b/>
        </w:rPr>
      </w:pPr>
      <w:r>
        <w:rPr>
          <w:b/>
        </w:rPr>
        <w:t>Pod-článek 4.27 (s)</w:t>
      </w:r>
    </w:p>
    <w:p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rsidR="00D136A2" w:rsidRPr="00D136A2" w:rsidRDefault="00D136A2" w:rsidP="00D136A2">
      <w:pPr>
        <w:spacing w:after="120"/>
        <w:jc w:val="both"/>
        <w:rPr>
          <w:b/>
        </w:rPr>
      </w:pPr>
      <w:r w:rsidRPr="00D136A2">
        <w:rPr>
          <w:b/>
        </w:rPr>
        <w:t>Pod-článek 4.27 (t)</w:t>
      </w:r>
    </w:p>
    <w:p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rsidR="00C96E7C" w:rsidRPr="00871FAC" w:rsidRDefault="00C96E7C" w:rsidP="00871FAC">
      <w:pPr>
        <w:pStyle w:val="Nadpisbezsl1-2"/>
      </w:pPr>
      <w:r w:rsidRPr="00871FAC">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Pr="00871FAC" w:rsidRDefault="00C96E7C" w:rsidP="00871FAC">
      <w:pPr>
        <w:pStyle w:val="Nadpisbezsl1-2"/>
      </w:pPr>
      <w:r w:rsidRPr="00871FAC">
        <w:t>4.28 Postupné závazné milníky</w:t>
      </w:r>
    </w:p>
    <w:p w:rsidR="00DC79B7" w:rsidRPr="00DC79B7" w:rsidRDefault="00DC79B7" w:rsidP="00DC79B7">
      <w:pPr>
        <w:spacing w:before="40" w:after="120"/>
        <w:jc w:val="both"/>
        <w:rPr>
          <w:rFonts w:eastAsia="Times New Roman" w:cs="Times New Roman"/>
          <w:bCs/>
          <w:highlight w:val="green"/>
        </w:rPr>
      </w:pPr>
      <w:r w:rsidRPr="00DC79B7">
        <w:rPr>
          <w:rFonts w:eastAsia="Times New Roman" w:cs="Times New Roman"/>
          <w:bCs/>
        </w:rPr>
        <w:t>Pro provádění Díla jsou stanoveny následující milníky:</w:t>
      </w:r>
    </w:p>
    <w:tbl>
      <w:tblPr>
        <w:tblW w:w="4744" w:type="pct"/>
        <w:tblLayout w:type="fixed"/>
        <w:tblCellMar>
          <w:left w:w="70" w:type="dxa"/>
          <w:right w:w="70" w:type="dxa"/>
        </w:tblCellMar>
        <w:tblLook w:val="04A0" w:firstRow="1" w:lastRow="0" w:firstColumn="1" w:lastColumn="0" w:noHBand="0" w:noVBand="1"/>
      </w:tblPr>
      <w:tblGrid>
        <w:gridCol w:w="4821"/>
        <w:gridCol w:w="3595"/>
      </w:tblGrid>
      <w:tr w:rsidR="00DC79B7" w:rsidRPr="00DC79B7" w:rsidTr="00695113">
        <w:trPr>
          <w:trHeight w:val="367"/>
        </w:trPr>
        <w:tc>
          <w:tcPr>
            <w:tcW w:w="2864" w:type="pct"/>
            <w:tcBorders>
              <w:top w:val="single" w:sz="8" w:space="0" w:color="auto"/>
              <w:left w:val="single" w:sz="8" w:space="0" w:color="auto"/>
              <w:bottom w:val="single" w:sz="6"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lang w:eastAsia="cs-CZ"/>
              </w:rPr>
              <w:t> </w:t>
            </w:r>
          </w:p>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lang w:eastAsia="cs-CZ"/>
              </w:rPr>
              <w:t>Termín zahájení plnění:</w:t>
            </w:r>
          </w:p>
        </w:tc>
        <w:tc>
          <w:tcPr>
            <w:tcW w:w="2136" w:type="pct"/>
            <w:tcBorders>
              <w:top w:val="single" w:sz="8" w:space="0" w:color="auto"/>
              <w:left w:val="single" w:sz="6" w:space="0" w:color="auto"/>
              <w:bottom w:val="single" w:sz="6" w:space="0" w:color="auto"/>
              <w:right w:val="single" w:sz="8" w:space="0" w:color="auto"/>
            </w:tcBorders>
            <w:shd w:val="clear" w:color="auto" w:fill="auto"/>
            <w:vAlign w:val="bottom"/>
          </w:tcPr>
          <w:p w:rsidR="00DC79B7" w:rsidRPr="00DC79B7" w:rsidRDefault="00DC79B7" w:rsidP="00DC79B7">
            <w:pPr>
              <w:overflowPunct w:val="0"/>
              <w:autoSpaceDE w:val="0"/>
              <w:autoSpaceDN w:val="0"/>
              <w:adjustRightInd w:val="0"/>
              <w:spacing w:after="0" w:line="240" w:lineRule="auto"/>
              <w:textAlignment w:val="baseline"/>
              <w:rPr>
                <w:rFonts w:eastAsia="Times New Roman" w:cs="Calibri"/>
                <w:color w:val="FF0000"/>
                <w:lang w:eastAsia="cs-CZ"/>
              </w:rPr>
            </w:pPr>
            <w:r w:rsidRPr="00DC79B7">
              <w:rPr>
                <w:rFonts w:eastAsia="Times New Roman" w:cs="Calibri"/>
                <w:i/>
                <w:lang w:eastAsia="cs-CZ"/>
              </w:rPr>
              <w:t xml:space="preserve">Ihned po nabytí účinnosti </w:t>
            </w:r>
            <w:r w:rsidR="006821CA">
              <w:rPr>
                <w:rFonts w:eastAsia="Times New Roman" w:cs="Calibri"/>
                <w:i/>
                <w:lang w:eastAsia="cs-CZ"/>
              </w:rPr>
              <w:t>Smlouvy o dílo</w:t>
            </w:r>
          </w:p>
        </w:tc>
      </w:tr>
      <w:tr w:rsidR="00DC79B7" w:rsidRPr="00DC79B7" w:rsidTr="00695113">
        <w:trPr>
          <w:trHeight w:val="508"/>
        </w:trPr>
        <w:tc>
          <w:tcPr>
            <w:tcW w:w="2864" w:type="pct"/>
            <w:tcBorders>
              <w:top w:val="single" w:sz="6" w:space="0" w:color="auto"/>
              <w:left w:val="single" w:sz="8" w:space="0" w:color="auto"/>
              <w:bottom w:val="single" w:sz="6"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b/>
                <w:lang w:eastAsia="cs-CZ"/>
              </w:rPr>
              <w:t>1. Dílčí etapa</w:t>
            </w:r>
            <w:r w:rsidRPr="00DC79B7">
              <w:rPr>
                <w:rFonts w:eastAsia="Times New Roman" w:cs="Calibri"/>
                <w:lang w:eastAsia="cs-CZ"/>
              </w:rPr>
              <w:t xml:space="preserve"> – zpracování a předání </w:t>
            </w:r>
            <w:proofErr w:type="gramStart"/>
            <w:r w:rsidRPr="00DC79B7">
              <w:rPr>
                <w:rFonts w:eastAsia="Times New Roman" w:cs="Calibri"/>
                <w:lang w:eastAsia="cs-CZ"/>
              </w:rPr>
              <w:t>písemné  zprávy</w:t>
            </w:r>
            <w:proofErr w:type="gramEnd"/>
            <w:r w:rsidRPr="00DC79B7">
              <w:rPr>
                <w:rFonts w:eastAsia="Times New Roman" w:cs="Calibri"/>
                <w:lang w:eastAsia="cs-CZ"/>
              </w:rPr>
              <w:t xml:space="preserve"> z geotechnickéh</w:t>
            </w:r>
            <w:r>
              <w:rPr>
                <w:rFonts w:eastAsia="Times New Roman" w:cs="Calibri"/>
                <w:lang w:eastAsia="cs-CZ"/>
              </w:rPr>
              <w:t xml:space="preserve">o a </w:t>
            </w:r>
            <w:proofErr w:type="spellStart"/>
            <w:r>
              <w:rPr>
                <w:rFonts w:eastAsia="Times New Roman" w:cs="Calibri"/>
                <w:lang w:eastAsia="cs-CZ"/>
              </w:rPr>
              <w:t>inženýrsko</w:t>
            </w:r>
            <w:proofErr w:type="spellEnd"/>
            <w:r>
              <w:rPr>
                <w:rFonts w:eastAsia="Times New Roman" w:cs="Calibri"/>
                <w:lang w:eastAsia="cs-CZ"/>
              </w:rPr>
              <w:t xml:space="preserve"> - geologického </w:t>
            </w:r>
            <w:r w:rsidRPr="00DC79B7">
              <w:rPr>
                <w:rFonts w:eastAsia="Times New Roman" w:cs="Calibri"/>
                <w:lang w:eastAsia="cs-CZ"/>
              </w:rPr>
              <w:t>průzkumu</w:t>
            </w:r>
          </w:p>
        </w:tc>
        <w:tc>
          <w:tcPr>
            <w:tcW w:w="2136" w:type="pct"/>
            <w:tcBorders>
              <w:top w:val="single" w:sz="6" w:space="0" w:color="auto"/>
              <w:left w:val="single" w:sz="6" w:space="0" w:color="auto"/>
              <w:bottom w:val="single" w:sz="6" w:space="0" w:color="auto"/>
              <w:right w:val="single" w:sz="8" w:space="0" w:color="auto"/>
            </w:tcBorders>
            <w:shd w:val="clear" w:color="auto" w:fill="auto"/>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i/>
                <w:lang w:eastAsia="cs-CZ"/>
              </w:rPr>
              <w:t>Do 3 měsíců od účinnosti</w:t>
            </w:r>
            <w:r w:rsidR="006821CA">
              <w:rPr>
                <w:rFonts w:eastAsia="Times New Roman" w:cs="Calibri"/>
                <w:i/>
                <w:lang w:eastAsia="cs-CZ"/>
              </w:rPr>
              <w:t xml:space="preserve"> Smlouvy o dílo</w:t>
            </w:r>
          </w:p>
        </w:tc>
      </w:tr>
      <w:tr w:rsidR="00DC79B7" w:rsidRPr="00DC79B7" w:rsidTr="00695113">
        <w:trPr>
          <w:trHeight w:val="544"/>
        </w:trPr>
        <w:tc>
          <w:tcPr>
            <w:tcW w:w="2864" w:type="pct"/>
            <w:tcBorders>
              <w:top w:val="single" w:sz="6" w:space="0" w:color="auto"/>
              <w:left w:val="single" w:sz="8" w:space="0" w:color="auto"/>
              <w:bottom w:val="single" w:sz="8"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b/>
                <w:lang w:eastAsia="cs-CZ"/>
              </w:rPr>
              <w:t>2. Dílčí etapa</w:t>
            </w:r>
            <w:r w:rsidRPr="00DC79B7">
              <w:rPr>
                <w:rFonts w:eastAsia="Times New Roman" w:cs="Calibri"/>
                <w:lang w:eastAsia="cs-CZ"/>
              </w:rPr>
              <w:t xml:space="preserve"> – předání technického řešení DSP po zapracovaných připomínkách všech dotčených </w:t>
            </w:r>
          </w:p>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lang w:eastAsia="cs-CZ"/>
              </w:rPr>
              <w:t xml:space="preserve">odborů GŘ, OJ SŽDC a se </w:t>
            </w:r>
            <w:proofErr w:type="gramStart"/>
            <w:r w:rsidRPr="00DC79B7">
              <w:rPr>
                <w:rFonts w:eastAsia="Times New Roman" w:cs="Calibri"/>
                <w:lang w:eastAsia="cs-CZ"/>
              </w:rPr>
              <w:t>zajištěným  stavebním</w:t>
            </w:r>
            <w:proofErr w:type="gramEnd"/>
            <w:r w:rsidRPr="00DC79B7">
              <w:rPr>
                <w:rFonts w:eastAsia="Times New Roman" w:cs="Calibri"/>
                <w:lang w:eastAsia="cs-CZ"/>
              </w:rPr>
              <w:t xml:space="preserve"> </w:t>
            </w:r>
          </w:p>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lang w:eastAsia="cs-CZ"/>
              </w:rPr>
              <w:t>povolení v právní moci</w:t>
            </w:r>
          </w:p>
        </w:tc>
        <w:tc>
          <w:tcPr>
            <w:tcW w:w="2136" w:type="pct"/>
            <w:tcBorders>
              <w:top w:val="single" w:sz="6" w:space="0" w:color="auto"/>
              <w:left w:val="single" w:sz="6" w:space="0" w:color="auto"/>
              <w:bottom w:val="single" w:sz="8" w:space="0" w:color="auto"/>
              <w:right w:val="single" w:sz="8" w:space="0" w:color="auto"/>
            </w:tcBorders>
            <w:shd w:val="clear" w:color="auto" w:fill="auto"/>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i/>
                <w:lang w:eastAsia="cs-CZ"/>
              </w:rPr>
              <w:t xml:space="preserve">Do 5 měsíců od účinnosti </w:t>
            </w:r>
            <w:r w:rsidR="006821CA">
              <w:rPr>
                <w:rFonts w:eastAsia="Times New Roman" w:cs="Calibri"/>
                <w:i/>
                <w:lang w:eastAsia="cs-CZ"/>
              </w:rPr>
              <w:t>Smlouvy o dílo</w:t>
            </w:r>
          </w:p>
        </w:tc>
      </w:tr>
      <w:tr w:rsidR="00DC79B7" w:rsidRPr="00DC79B7" w:rsidTr="00695113">
        <w:trPr>
          <w:trHeight w:val="544"/>
        </w:trPr>
        <w:tc>
          <w:tcPr>
            <w:tcW w:w="2864" w:type="pct"/>
            <w:tcBorders>
              <w:top w:val="single" w:sz="6" w:space="0" w:color="auto"/>
              <w:left w:val="single" w:sz="8" w:space="0" w:color="auto"/>
              <w:bottom w:val="single" w:sz="6"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b/>
                <w:lang w:eastAsia="cs-CZ"/>
              </w:rPr>
              <w:t>3. Dílčí etapa</w:t>
            </w:r>
            <w:r w:rsidRPr="00DC79B7">
              <w:rPr>
                <w:rFonts w:eastAsia="Times New Roman" w:cs="Calibri"/>
                <w:lang w:eastAsia="cs-CZ"/>
              </w:rPr>
              <w:t xml:space="preserve"> - dokončení stavebních prací:</w:t>
            </w:r>
          </w:p>
        </w:tc>
        <w:tc>
          <w:tcPr>
            <w:tcW w:w="2136" w:type="pct"/>
            <w:tcBorders>
              <w:top w:val="single" w:sz="6" w:space="0" w:color="auto"/>
              <w:left w:val="single" w:sz="6" w:space="0" w:color="auto"/>
              <w:bottom w:val="single" w:sz="6" w:space="0" w:color="auto"/>
              <w:right w:val="single" w:sz="8" w:space="0" w:color="auto"/>
            </w:tcBorders>
            <w:shd w:val="clear" w:color="auto" w:fill="auto"/>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i/>
                <w:lang w:eastAsia="cs-CZ"/>
              </w:rPr>
              <w:t>Do 11 měsíců od Data zahájení prací</w:t>
            </w:r>
          </w:p>
        </w:tc>
      </w:tr>
      <w:tr w:rsidR="00DC79B7" w:rsidRPr="00DC79B7" w:rsidTr="00695113">
        <w:trPr>
          <w:trHeight w:val="544"/>
        </w:trPr>
        <w:tc>
          <w:tcPr>
            <w:tcW w:w="2864" w:type="pct"/>
            <w:tcBorders>
              <w:top w:val="single" w:sz="6" w:space="0" w:color="auto"/>
              <w:left w:val="single" w:sz="8" w:space="0" w:color="auto"/>
              <w:bottom w:val="single" w:sz="8" w:space="0" w:color="auto"/>
              <w:right w:val="single" w:sz="6" w:space="0" w:color="auto"/>
            </w:tcBorders>
            <w:shd w:val="clear" w:color="auto" w:fill="auto"/>
            <w:noWrap/>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b/>
                <w:lang w:eastAsia="cs-CZ"/>
              </w:rPr>
              <w:t>4. Dílčí etapa</w:t>
            </w:r>
            <w:r w:rsidRPr="00DC79B7">
              <w:rPr>
                <w:rFonts w:eastAsia="Times New Roman" w:cs="Calibri"/>
                <w:lang w:eastAsia="cs-CZ"/>
              </w:rPr>
              <w:t xml:space="preserve"> - termín ukončení celého díla:</w:t>
            </w:r>
          </w:p>
        </w:tc>
        <w:tc>
          <w:tcPr>
            <w:tcW w:w="2136" w:type="pct"/>
            <w:tcBorders>
              <w:top w:val="single" w:sz="6" w:space="0" w:color="auto"/>
              <w:left w:val="single" w:sz="6" w:space="0" w:color="auto"/>
              <w:bottom w:val="single" w:sz="8" w:space="0" w:color="auto"/>
              <w:right w:val="single" w:sz="8" w:space="0" w:color="auto"/>
            </w:tcBorders>
            <w:shd w:val="clear" w:color="auto" w:fill="auto"/>
            <w:vAlign w:val="bottom"/>
          </w:tcPr>
          <w:p w:rsidR="00DC79B7" w:rsidRPr="00DC79B7" w:rsidRDefault="00DC79B7" w:rsidP="00DC79B7">
            <w:pPr>
              <w:overflowPunct w:val="0"/>
              <w:adjustRightInd w:val="0"/>
              <w:spacing w:after="0" w:line="240" w:lineRule="auto"/>
              <w:textAlignment w:val="baseline"/>
              <w:rPr>
                <w:rFonts w:eastAsia="Times New Roman" w:cs="Calibri"/>
                <w:lang w:eastAsia="cs-CZ"/>
              </w:rPr>
            </w:pPr>
            <w:r w:rsidRPr="00DC79B7">
              <w:rPr>
                <w:rFonts w:eastAsia="Times New Roman" w:cs="Calibri"/>
                <w:i/>
                <w:lang w:eastAsia="cs-CZ"/>
              </w:rPr>
              <w:t>Do 17 měsíců od Data zahájení prací</w:t>
            </w:r>
          </w:p>
        </w:tc>
      </w:tr>
    </w:tbl>
    <w:p w:rsidR="00DC79B7" w:rsidRPr="00DC79B7" w:rsidRDefault="00DC79B7" w:rsidP="00DC79B7">
      <w:pPr>
        <w:overflowPunct w:val="0"/>
        <w:autoSpaceDE w:val="0"/>
        <w:autoSpaceDN w:val="0"/>
        <w:adjustRightInd w:val="0"/>
        <w:spacing w:after="120"/>
        <w:jc w:val="both"/>
        <w:textAlignment w:val="baseline"/>
        <w:rPr>
          <w:rFonts w:ascii="Calibri" w:eastAsia="Times New Roman" w:hAnsi="Calibri" w:cs="Times New Roman"/>
          <w:b/>
          <w:sz w:val="22"/>
          <w:szCs w:val="22"/>
          <w:u w:val="single"/>
          <w:lang w:eastAsia="cs-CZ"/>
        </w:rPr>
      </w:pPr>
    </w:p>
    <w:p w:rsidR="00C96E7C" w:rsidRPr="00871FAC" w:rsidRDefault="00DC79B7" w:rsidP="00871FAC">
      <w:pPr>
        <w:pStyle w:val="Nadpisbezsl1-2"/>
      </w:pPr>
      <w:r>
        <w:t>4</w:t>
      </w:r>
      <w:r w:rsidR="00C96E7C" w:rsidRPr="00871FAC">
        <w:t>.30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 xml:space="preserve">Odstavec </w:t>
      </w:r>
      <w:r w:rsidR="00330257">
        <w:t>4</w:t>
      </w:r>
      <w:r>
        <w:t xml:space="preserve">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 xml:space="preserve">Odstavec </w:t>
      </w:r>
      <w:r w:rsidR="00330257">
        <w:t>6</w:t>
      </w:r>
      <w:r>
        <w:t xml:space="preserve"> nově zní:</w:t>
      </w:r>
    </w:p>
    <w:p w:rsidR="00C96E7C" w:rsidRDefault="00C96E7C" w:rsidP="005D168C">
      <w:pPr>
        <w:pStyle w:val="Textbezslovn"/>
      </w:pPr>
      <w:r>
        <w:lastRenderedPageBreak/>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330257" w:rsidRDefault="00330257" w:rsidP="00330257">
      <w:pPr>
        <w:pStyle w:val="Odrka1-1"/>
        <w:numPr>
          <w:ilvl w:val="0"/>
          <w:numId w:val="0"/>
        </w:numPr>
        <w:ind w:left="1077"/>
      </w:pPr>
    </w:p>
    <w:p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rsidR="009B6B4D" w:rsidRDefault="009B6B4D" w:rsidP="009B6B4D">
      <w:pPr>
        <w:pStyle w:val="Odrka1-1"/>
        <w:numPr>
          <w:ilvl w:val="0"/>
          <w:numId w:val="0"/>
        </w:numPr>
        <w:spacing w:before="120"/>
      </w:pPr>
    </w:p>
    <w:p w:rsidR="00330257" w:rsidRP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proofErr w:type="gramStart"/>
      <w:r w:rsidR="009B6B4D">
        <w:t xml:space="preserve">do </w:t>
      </w:r>
      <w:r w:rsidR="003825B0">
        <w:t xml:space="preserve"> </w:t>
      </w:r>
      <w:r w:rsidR="009B6B4D">
        <w:t>[</w:t>
      </w:r>
      <w:r w:rsidR="009B6B4D" w:rsidRPr="008B01FE">
        <w:rPr>
          <w:highlight w:val="green"/>
        </w:rPr>
        <w:t>VLOŽÍ</w:t>
      </w:r>
      <w:proofErr w:type="gramEnd"/>
      <w:r w:rsidR="009B6B4D" w:rsidRPr="008B01FE">
        <w:rPr>
          <w:highlight w:val="green"/>
        </w:rPr>
        <w:t xml:space="preserve"> OBJEDNATEL</w:t>
      </w:r>
      <w:r w:rsidR="009B6B4D">
        <w:t>] dní od Data zahájení prací.</w:t>
      </w:r>
    </w:p>
    <w:p w:rsidR="00C96E7C" w:rsidRDefault="009B6B4D" w:rsidP="005B7883">
      <w:pPr>
        <w:pStyle w:val="Nadpisbezsl1-2"/>
      </w:pPr>
      <w:r>
        <w:t>8.2 Doba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DC79B7">
        <w:t>17 měsíců</w:t>
      </w:r>
      <w:r w:rsidR="003825B0">
        <w:t xml:space="preserve"> </w:t>
      </w:r>
      <w:r>
        <w:t>od Data zahájení prací.</w:t>
      </w:r>
    </w:p>
    <w:p w:rsidR="00C96E7C" w:rsidRDefault="00C96E7C" w:rsidP="005B7883">
      <w:pPr>
        <w:pStyle w:val="Nadpisbezsl1-2"/>
      </w:pPr>
      <w:r>
        <w:t xml:space="preserve">8.2, </w:t>
      </w:r>
      <w:proofErr w:type="gramStart"/>
      <w:r>
        <w:t>1.1.3.10  Doba</w:t>
      </w:r>
      <w:proofErr w:type="gramEnd"/>
      <w:r>
        <w:t xml:space="preserve"> pro uvedení do provozu</w:t>
      </w:r>
    </w:p>
    <w:p w:rsidR="00C96E7C" w:rsidRDefault="00C96E7C" w:rsidP="005D168C">
      <w:pPr>
        <w:pStyle w:val="Textbezodsazen"/>
      </w:pPr>
      <w:r>
        <w:t xml:space="preserve">Zhotovitel je povinen </w:t>
      </w:r>
      <w:r w:rsidRPr="00DC79B7">
        <w:t>dokončit Dílo</w:t>
      </w:r>
      <w:r w:rsidR="00582C15" w:rsidRPr="00DC79B7">
        <w:t xml:space="preserve"> v </w:t>
      </w:r>
      <w:r w:rsidRPr="00DC79B7">
        <w:t>rozsahu</w:t>
      </w:r>
      <w:r>
        <w:t xml:space="preserve"> nezbytném pro účely </w:t>
      </w:r>
      <w:r w:rsidR="00DC79B7">
        <w:t>jeho uvedení</w:t>
      </w:r>
      <w:r>
        <w:t xml:space="preserve"> do provozu za podmínek stavebního zákona</w:t>
      </w:r>
      <w:r w:rsidR="00582C15">
        <w:t xml:space="preserve"> a </w:t>
      </w:r>
      <w:r>
        <w:t>zákona</w:t>
      </w:r>
      <w:r w:rsidR="00582C15">
        <w:t xml:space="preserve"> o </w:t>
      </w:r>
      <w:r>
        <w:t>drahách nejpozději do</w:t>
      </w:r>
      <w:r w:rsidR="00DC79B7">
        <w:t xml:space="preserve"> 11 </w:t>
      </w:r>
      <w:r w:rsidRPr="00DC79B7">
        <w:t>měsíců od Data zahájení prací</w:t>
      </w:r>
      <w:r w:rsidR="00DC79B7" w:rsidRPr="00DC79B7">
        <w:t>.</w:t>
      </w:r>
    </w:p>
    <w:p w:rsidR="00C96E7C" w:rsidRDefault="00C96E7C" w:rsidP="005B7883">
      <w:pPr>
        <w:pStyle w:val="Nadpisbezsl1-2"/>
      </w:pPr>
      <w:r>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96E7C" w:rsidRDefault="00C96E7C" w:rsidP="005D168C">
      <w:pPr>
        <w:pStyle w:val="Textbezodsazen"/>
      </w:pPr>
      <w:r>
        <w:t xml:space="preserve">Celková výše náhrady škody za zpoždění je stanovena ve výši </w:t>
      </w:r>
      <w:r w:rsidR="003451AB">
        <w:t>Přijaté smluvní částky.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lastRenderedPageBreak/>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proofErr w:type="gramStart"/>
      <w:r>
        <w:t>13.1  Právo</w:t>
      </w:r>
      <w:proofErr w:type="gramEnd"/>
      <w:r>
        <w:t xml:space="preserve">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se neposkytuje.</w:t>
      </w: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Minimální částka Potvrzení průběžné platby není stanovena.</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lastRenderedPageBreak/>
        <w:t>18.2  Pojištění</w:t>
      </w:r>
      <w:proofErr w:type="gramEnd"/>
      <w:r>
        <w:t xml:space="preserve"> díla</w:t>
      </w:r>
      <w:r w:rsidR="00582C15">
        <w:t xml:space="preserve"> a </w:t>
      </w:r>
      <w:r>
        <w:t>vyb</w:t>
      </w:r>
      <w:r w:rsidR="00582C15">
        <w:t>a</w:t>
      </w:r>
      <w:r>
        <w:t>ven</w:t>
      </w:r>
      <w:r w:rsidR="00582C15">
        <w:t>í</w:t>
      </w:r>
      <w:r>
        <w:t xml:space="preserve"> zhotovitele</w:t>
      </w:r>
    </w:p>
    <w:p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rsidR="00316A98" w:rsidRDefault="00316A98" w:rsidP="00316A98">
      <w:pPr>
        <w:pStyle w:val="F-OPlOdstavec"/>
        <w:rPr>
          <w:rFonts w:asciiTheme="minorHAnsi" w:hAnsiTheme="minorHAnsi"/>
          <w:sz w:val="18"/>
          <w:szCs w:val="18"/>
        </w:rPr>
      </w:pPr>
    </w:p>
    <w:p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rsidR="00316A98" w:rsidRPr="00316A98" w:rsidRDefault="00316A98" w:rsidP="00B172EC">
      <w:pPr>
        <w:pStyle w:val="Odrka1-1"/>
      </w:pPr>
      <w:r w:rsidRPr="00316A98">
        <w:t>pojištění odpovědnosti Zhotovitele během záručního období min. 24 měsíců</w:t>
      </w:r>
    </w:p>
    <w:p w:rsidR="00316A98" w:rsidRPr="00316A98" w:rsidRDefault="00316A98" w:rsidP="00B172EC">
      <w:pPr>
        <w:pStyle w:val="Odrka1-1"/>
      </w:pPr>
      <w:r w:rsidRPr="00316A98">
        <w:t>pojištění rizika projektanta (vadný projekt a konstrukce)</w:t>
      </w:r>
    </w:p>
    <w:p w:rsidR="00316A98" w:rsidRPr="00316A98" w:rsidRDefault="00316A98" w:rsidP="00B172EC">
      <w:pPr>
        <w:pStyle w:val="Odrka1-1"/>
      </w:pPr>
      <w:r w:rsidRPr="00316A98">
        <w:t>pojištění rizika výrobce (výrobní vada)</w:t>
      </w:r>
    </w:p>
    <w:p w:rsidR="00316A98" w:rsidRPr="00316A98" w:rsidRDefault="00316A98" w:rsidP="00B172EC">
      <w:pPr>
        <w:pStyle w:val="Odrka1-1"/>
      </w:pPr>
      <w:r w:rsidRPr="00316A98">
        <w:t xml:space="preserve">pojištění okolního majetku </w:t>
      </w:r>
    </w:p>
    <w:p w:rsidR="00316A98" w:rsidRPr="00316A98" w:rsidRDefault="00316A98" w:rsidP="00B172EC">
      <w:pPr>
        <w:pStyle w:val="Odrka1-1"/>
      </w:pPr>
      <w:r w:rsidRPr="00316A98">
        <w:t xml:space="preserve">pojištění převzatého majetku od Objednatele </w:t>
      </w:r>
    </w:p>
    <w:p w:rsidR="00316A98" w:rsidRPr="00316A98" w:rsidRDefault="00316A98" w:rsidP="00B172EC">
      <w:pPr>
        <w:pStyle w:val="Odrka1-1"/>
      </w:pPr>
      <w:r w:rsidRPr="00316A98">
        <w:t xml:space="preserve">pojištění nákladů na demolice, vyklizení a odvoz suti </w:t>
      </w:r>
    </w:p>
    <w:p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rsidR="00316A98" w:rsidRDefault="001D3D61" w:rsidP="00B172EC">
      <w:pPr>
        <w:pStyle w:val="Odrka1-1"/>
      </w:pPr>
      <w:r>
        <w:t xml:space="preserve"> </w:t>
      </w:r>
      <w:r w:rsidR="00316A98" w:rsidRPr="00316A98">
        <w:t>maximální spoluúčast ve výši 10 % Smluvní ceny, ne však vyšší než 1 mil. Kč.</w:t>
      </w:r>
    </w:p>
    <w:p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vázaní na budovaném Díle.</w:t>
      </w:r>
    </w:p>
    <w:p w:rsidR="00316A98" w:rsidRDefault="00316A98" w:rsidP="005B7883">
      <w:pPr>
        <w:pStyle w:val="Nadpisbezsl1-2"/>
      </w:pP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2"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E33F3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40D" w:rsidRDefault="009A540D" w:rsidP="00962258">
      <w:pPr>
        <w:spacing w:after="0" w:line="240" w:lineRule="auto"/>
      </w:pPr>
      <w:r>
        <w:separator/>
      </w:r>
    </w:p>
  </w:endnote>
  <w:endnote w:type="continuationSeparator" w:id="0">
    <w:p w:rsidR="009A540D" w:rsidRDefault="009A54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rsidTr="009223E5">
      <w:tc>
        <w:tcPr>
          <w:tcW w:w="851" w:type="dxa"/>
          <w:tcMar>
            <w:left w:w="0" w:type="dxa"/>
            <w:right w:w="0" w:type="dxa"/>
          </w:tcMar>
          <w:vAlign w:val="bottom"/>
        </w:tcPr>
        <w:p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35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135C">
            <w:rPr>
              <w:rStyle w:val="slostrnky"/>
              <w:noProof/>
            </w:rPr>
            <w:t>8</w:t>
          </w:r>
          <w:r w:rsidRPr="00B8518B">
            <w:rPr>
              <w:rStyle w:val="slostrnky"/>
            </w:rPr>
            <w:fldChar w:fldCharType="end"/>
          </w:r>
        </w:p>
      </w:tc>
      <w:tc>
        <w:tcPr>
          <w:tcW w:w="7739" w:type="dxa"/>
          <w:vAlign w:val="bottom"/>
        </w:tcPr>
        <w:p w:rsidR="00352421" w:rsidRDefault="00352421" w:rsidP="009223E5">
          <w:pPr>
            <w:pStyle w:val="Zpatvlevo"/>
          </w:pPr>
          <w:r>
            <w:t xml:space="preserve">Příloha k nabídce </w:t>
          </w:r>
        </w:p>
        <w:p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45135C">
            <w:rPr>
              <w:rStyle w:val="Tun"/>
              <w:noProof/>
            </w:rPr>
            <w:t>„Sanace nestabilních náspů zemního tělesa v úseku Hájek - Dalovice “</w:t>
          </w:r>
          <w:r w:rsidR="0045135C">
            <w:rPr>
              <w:rStyle w:val="Tun"/>
              <w:noProof/>
            </w:rPr>
            <w:br/>
          </w:r>
          <w:r w:rsidRPr="00352421">
            <w:rPr>
              <w:rStyle w:val="Tun"/>
            </w:rPr>
            <w:fldChar w:fldCharType="end"/>
          </w:r>
        </w:p>
      </w:tc>
    </w:tr>
  </w:tbl>
  <w:p w:rsidR="00BF6DA5" w:rsidRPr="00BF6DA5" w:rsidRDefault="00BF6DA5">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rsidTr="009223E5">
      <w:tc>
        <w:tcPr>
          <w:tcW w:w="7797" w:type="dxa"/>
          <w:tcMar>
            <w:left w:w="0" w:type="dxa"/>
            <w:right w:w="0" w:type="dxa"/>
          </w:tcMar>
          <w:vAlign w:val="bottom"/>
        </w:tcPr>
        <w:p w:rsidR="00352421" w:rsidRDefault="00352421" w:rsidP="009223E5">
          <w:pPr>
            <w:pStyle w:val="Zpatvpravo"/>
          </w:pPr>
          <w:r>
            <w:t xml:space="preserve">Příloha k nabídce </w:t>
          </w:r>
        </w:p>
        <w:p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45135C">
            <w:rPr>
              <w:rStyle w:val="Tun"/>
              <w:noProof/>
            </w:rPr>
            <w:t>„Sanace nestabilních náspů zemního tělesa v úseku Hájek - Dalovice “</w:t>
          </w:r>
          <w:r w:rsidR="0045135C">
            <w:rPr>
              <w:rStyle w:val="Tun"/>
              <w:noProof/>
            </w:rPr>
            <w:br/>
          </w:r>
          <w:r w:rsidRPr="00352421">
            <w:rPr>
              <w:rStyle w:val="Tun"/>
            </w:rPr>
            <w:fldChar w:fldCharType="end"/>
          </w:r>
        </w:p>
      </w:tc>
      <w:tc>
        <w:tcPr>
          <w:tcW w:w="851" w:type="dxa"/>
          <w:vAlign w:val="bottom"/>
        </w:tcPr>
        <w:p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5135C">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135C">
            <w:rPr>
              <w:rStyle w:val="slostrnky"/>
              <w:noProof/>
            </w:rPr>
            <w:t>7</w:t>
          </w:r>
          <w:r w:rsidRPr="00B8518B">
            <w:rPr>
              <w:rStyle w:val="slostrnky"/>
            </w:rPr>
            <w:fldChar w:fldCharType="end"/>
          </w:r>
        </w:p>
      </w:tc>
    </w:tr>
  </w:tbl>
  <w:p w:rsidR="00582C15" w:rsidRPr="00B8518B" w:rsidRDefault="00582C1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2EC" w:rsidRDefault="00B172EC" w:rsidP="00B172EC">
    <w:pPr>
      <w:pStyle w:val="Zpat"/>
      <w:rPr>
        <w:rFonts w:cs="Calibri"/>
        <w:szCs w:val="12"/>
      </w:rPr>
    </w:pPr>
  </w:p>
  <w:p w:rsidR="00B172EC" w:rsidRDefault="00B172EC" w:rsidP="00B172EC">
    <w:pPr>
      <w:pStyle w:val="Zpat"/>
      <w:rPr>
        <w:rFonts w:cs="Calibri"/>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40D" w:rsidRDefault="009A540D" w:rsidP="00962258">
      <w:pPr>
        <w:spacing w:after="0" w:line="240" w:lineRule="auto"/>
      </w:pPr>
      <w:r>
        <w:separator/>
      </w:r>
    </w:p>
  </w:footnote>
  <w:footnote w:type="continuationSeparator" w:id="0">
    <w:p w:rsidR="009A540D" w:rsidRDefault="009A540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BA8481F" wp14:editId="41E3B410">
          <wp:simplePos x="0" y="0"/>
          <wp:positionH relativeFrom="page">
            <wp:posOffset>575945</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6"/>
  </w:num>
  <w:num w:numId="16">
    <w:abstractNumId w:val="6"/>
  </w:num>
  <w:num w:numId="17">
    <w:abstractNumId w:val="6"/>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41EC8"/>
    <w:rsid w:val="0006588D"/>
    <w:rsid w:val="00067A5E"/>
    <w:rsid w:val="000719BB"/>
    <w:rsid w:val="00071A0E"/>
    <w:rsid w:val="00072A65"/>
    <w:rsid w:val="00072C1E"/>
    <w:rsid w:val="000B15D3"/>
    <w:rsid w:val="000B4EB8"/>
    <w:rsid w:val="000C40E5"/>
    <w:rsid w:val="000C41F2"/>
    <w:rsid w:val="000D22C4"/>
    <w:rsid w:val="000D27D1"/>
    <w:rsid w:val="000E0B11"/>
    <w:rsid w:val="000E1A7F"/>
    <w:rsid w:val="000F4591"/>
    <w:rsid w:val="00112864"/>
    <w:rsid w:val="00114472"/>
    <w:rsid w:val="00114988"/>
    <w:rsid w:val="00115069"/>
    <w:rsid w:val="001150F2"/>
    <w:rsid w:val="0011578B"/>
    <w:rsid w:val="0012024F"/>
    <w:rsid w:val="00145961"/>
    <w:rsid w:val="00152473"/>
    <w:rsid w:val="00152D40"/>
    <w:rsid w:val="001656A2"/>
    <w:rsid w:val="00170EC5"/>
    <w:rsid w:val="001747C1"/>
    <w:rsid w:val="0017695A"/>
    <w:rsid w:val="00177D6B"/>
    <w:rsid w:val="00191F90"/>
    <w:rsid w:val="001B4E74"/>
    <w:rsid w:val="001C645F"/>
    <w:rsid w:val="001D3D61"/>
    <w:rsid w:val="001E3C56"/>
    <w:rsid w:val="001E678E"/>
    <w:rsid w:val="002071BB"/>
    <w:rsid w:val="00207DF5"/>
    <w:rsid w:val="00220F63"/>
    <w:rsid w:val="0023464E"/>
    <w:rsid w:val="00235D7C"/>
    <w:rsid w:val="00240B81"/>
    <w:rsid w:val="00244767"/>
    <w:rsid w:val="00247D01"/>
    <w:rsid w:val="00261A5B"/>
    <w:rsid w:val="00262E5B"/>
    <w:rsid w:val="00276AFE"/>
    <w:rsid w:val="0028337C"/>
    <w:rsid w:val="002A3B57"/>
    <w:rsid w:val="002B06D2"/>
    <w:rsid w:val="002C31BF"/>
    <w:rsid w:val="002D7FD6"/>
    <w:rsid w:val="002E0CD7"/>
    <w:rsid w:val="002E0CFB"/>
    <w:rsid w:val="002E3A3F"/>
    <w:rsid w:val="002E5C7B"/>
    <w:rsid w:val="002F4333"/>
    <w:rsid w:val="00316A98"/>
    <w:rsid w:val="0031787A"/>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41B4D"/>
    <w:rsid w:val="00450F07"/>
    <w:rsid w:val="0045135C"/>
    <w:rsid w:val="00453CD3"/>
    <w:rsid w:val="00460660"/>
    <w:rsid w:val="00464BA9"/>
    <w:rsid w:val="00465F51"/>
    <w:rsid w:val="00483969"/>
    <w:rsid w:val="00486107"/>
    <w:rsid w:val="00491827"/>
    <w:rsid w:val="004C4399"/>
    <w:rsid w:val="004C4830"/>
    <w:rsid w:val="004C787C"/>
    <w:rsid w:val="004E0643"/>
    <w:rsid w:val="004E7A1F"/>
    <w:rsid w:val="004F4B9B"/>
    <w:rsid w:val="0050666E"/>
    <w:rsid w:val="00511AB9"/>
    <w:rsid w:val="00515B28"/>
    <w:rsid w:val="00523BB5"/>
    <w:rsid w:val="00523EA7"/>
    <w:rsid w:val="005269D4"/>
    <w:rsid w:val="005406EB"/>
    <w:rsid w:val="00553375"/>
    <w:rsid w:val="00555884"/>
    <w:rsid w:val="005736B7"/>
    <w:rsid w:val="00575E5A"/>
    <w:rsid w:val="00580245"/>
    <w:rsid w:val="00582C15"/>
    <w:rsid w:val="005A1F44"/>
    <w:rsid w:val="005B7883"/>
    <w:rsid w:val="005B7C7D"/>
    <w:rsid w:val="005D168C"/>
    <w:rsid w:val="005D1FC9"/>
    <w:rsid w:val="005D3C39"/>
    <w:rsid w:val="005F3E29"/>
    <w:rsid w:val="00601A8C"/>
    <w:rsid w:val="00605DD8"/>
    <w:rsid w:val="0061012B"/>
    <w:rsid w:val="0061068E"/>
    <w:rsid w:val="006115D3"/>
    <w:rsid w:val="0065610E"/>
    <w:rsid w:val="00656725"/>
    <w:rsid w:val="00660AD3"/>
    <w:rsid w:val="00673932"/>
    <w:rsid w:val="006776B6"/>
    <w:rsid w:val="00680727"/>
    <w:rsid w:val="006821CA"/>
    <w:rsid w:val="00693150"/>
    <w:rsid w:val="006A5570"/>
    <w:rsid w:val="006A689C"/>
    <w:rsid w:val="006B3D79"/>
    <w:rsid w:val="006B4476"/>
    <w:rsid w:val="006B6FE4"/>
    <w:rsid w:val="006C2343"/>
    <w:rsid w:val="006C442A"/>
    <w:rsid w:val="006E0578"/>
    <w:rsid w:val="006E314D"/>
    <w:rsid w:val="006F0159"/>
    <w:rsid w:val="00710723"/>
    <w:rsid w:val="00723ED1"/>
    <w:rsid w:val="00730A60"/>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D6B63"/>
    <w:rsid w:val="007E4A6E"/>
    <w:rsid w:val="007F56A7"/>
    <w:rsid w:val="00800851"/>
    <w:rsid w:val="00807844"/>
    <w:rsid w:val="00807DD0"/>
    <w:rsid w:val="008123B6"/>
    <w:rsid w:val="00821D01"/>
    <w:rsid w:val="00821F3A"/>
    <w:rsid w:val="00826B7B"/>
    <w:rsid w:val="00846789"/>
    <w:rsid w:val="008602BD"/>
    <w:rsid w:val="00870145"/>
    <w:rsid w:val="00871FAC"/>
    <w:rsid w:val="008736AD"/>
    <w:rsid w:val="008825B2"/>
    <w:rsid w:val="008850CB"/>
    <w:rsid w:val="008A3568"/>
    <w:rsid w:val="008B01FE"/>
    <w:rsid w:val="008B0618"/>
    <w:rsid w:val="008B31DC"/>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540D"/>
    <w:rsid w:val="009B2E97"/>
    <w:rsid w:val="009B5146"/>
    <w:rsid w:val="009B641A"/>
    <w:rsid w:val="009B6B4D"/>
    <w:rsid w:val="009C386C"/>
    <w:rsid w:val="009C418E"/>
    <w:rsid w:val="009C442C"/>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C482A"/>
    <w:rsid w:val="00AD056F"/>
    <w:rsid w:val="00AD0C7B"/>
    <w:rsid w:val="00AD5F1A"/>
    <w:rsid w:val="00AD6731"/>
    <w:rsid w:val="00AD7B08"/>
    <w:rsid w:val="00AE796F"/>
    <w:rsid w:val="00AF0E06"/>
    <w:rsid w:val="00B008D5"/>
    <w:rsid w:val="00B02F73"/>
    <w:rsid w:val="00B0619F"/>
    <w:rsid w:val="00B13A26"/>
    <w:rsid w:val="00B15D0D"/>
    <w:rsid w:val="00B172EC"/>
    <w:rsid w:val="00B22106"/>
    <w:rsid w:val="00B222FB"/>
    <w:rsid w:val="00B44EA9"/>
    <w:rsid w:val="00B5431A"/>
    <w:rsid w:val="00B60176"/>
    <w:rsid w:val="00B75EE1"/>
    <w:rsid w:val="00B77481"/>
    <w:rsid w:val="00B8518B"/>
    <w:rsid w:val="00B97CC3"/>
    <w:rsid w:val="00BA0EBA"/>
    <w:rsid w:val="00BC05F2"/>
    <w:rsid w:val="00BC06C4"/>
    <w:rsid w:val="00BD7E91"/>
    <w:rsid w:val="00BD7F0D"/>
    <w:rsid w:val="00BF5233"/>
    <w:rsid w:val="00BF6DA5"/>
    <w:rsid w:val="00C02D0A"/>
    <w:rsid w:val="00C03A6E"/>
    <w:rsid w:val="00C226C0"/>
    <w:rsid w:val="00C33406"/>
    <w:rsid w:val="00C42FE6"/>
    <w:rsid w:val="00C44F6A"/>
    <w:rsid w:val="00C6198E"/>
    <w:rsid w:val="00C64271"/>
    <w:rsid w:val="00C708EA"/>
    <w:rsid w:val="00C732F0"/>
    <w:rsid w:val="00C778A5"/>
    <w:rsid w:val="00C95162"/>
    <w:rsid w:val="00C96E7C"/>
    <w:rsid w:val="00CA5A14"/>
    <w:rsid w:val="00CB6A37"/>
    <w:rsid w:val="00CB7684"/>
    <w:rsid w:val="00CC7C8F"/>
    <w:rsid w:val="00CD1FC4"/>
    <w:rsid w:val="00CF1410"/>
    <w:rsid w:val="00CF2351"/>
    <w:rsid w:val="00D034A0"/>
    <w:rsid w:val="00D136A2"/>
    <w:rsid w:val="00D21061"/>
    <w:rsid w:val="00D246FC"/>
    <w:rsid w:val="00D30D72"/>
    <w:rsid w:val="00D311B4"/>
    <w:rsid w:val="00D36EA0"/>
    <w:rsid w:val="00D4108E"/>
    <w:rsid w:val="00D435C3"/>
    <w:rsid w:val="00D6163D"/>
    <w:rsid w:val="00D831A3"/>
    <w:rsid w:val="00D97BE3"/>
    <w:rsid w:val="00DA3711"/>
    <w:rsid w:val="00DB4DF1"/>
    <w:rsid w:val="00DC79B7"/>
    <w:rsid w:val="00DD46F3"/>
    <w:rsid w:val="00DE56F2"/>
    <w:rsid w:val="00DF116D"/>
    <w:rsid w:val="00DF14DB"/>
    <w:rsid w:val="00E06EDE"/>
    <w:rsid w:val="00E16FF7"/>
    <w:rsid w:val="00E26D68"/>
    <w:rsid w:val="00E33F32"/>
    <w:rsid w:val="00E37BAF"/>
    <w:rsid w:val="00E41EEA"/>
    <w:rsid w:val="00E44045"/>
    <w:rsid w:val="00E46253"/>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45607"/>
    <w:rsid w:val="00F4722B"/>
    <w:rsid w:val="00F54432"/>
    <w:rsid w:val="00F659EB"/>
    <w:rsid w:val="00F772A9"/>
    <w:rsid w:val="00F86BA6"/>
    <w:rsid w:val="00F93347"/>
    <w:rsid w:val="00F95772"/>
    <w:rsid w:val="00FB6342"/>
    <w:rsid w:val="00FC6389"/>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PlnabPodnadpis">
    <w:name w:val="Příl_nab_Podnadpis"/>
    <w:basedOn w:val="Normln"/>
    <w:qFormat/>
    <w:rsid w:val="00DC79B7"/>
    <w:pPr>
      <w:overflowPunct w:val="0"/>
      <w:autoSpaceDE w:val="0"/>
      <w:autoSpaceDN w:val="0"/>
      <w:adjustRightInd w:val="0"/>
      <w:spacing w:after="120"/>
      <w:textAlignment w:val="baseline"/>
    </w:pPr>
    <w:rPr>
      <w:rFonts w:ascii="Calibri" w:eastAsia="Times New Roman" w:hAnsi="Calibri" w:cs="Times New Roman"/>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PlnabPodnadpis">
    <w:name w:val="Příl_nab_Podnadpis"/>
    <w:basedOn w:val="Normln"/>
    <w:qFormat/>
    <w:rsid w:val="00DC79B7"/>
    <w:pPr>
      <w:overflowPunct w:val="0"/>
      <w:autoSpaceDE w:val="0"/>
      <w:autoSpaceDN w:val="0"/>
      <w:adjustRightInd w:val="0"/>
      <w:spacing w:after="120"/>
      <w:textAlignment w:val="baseline"/>
    </w:pPr>
    <w:rPr>
      <w:rFonts w:ascii="Calibri" w:eastAsia="Times New Roman" w:hAnsi="Calibri" w:cs="Times New Roman"/>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SZDC000PHANT041\dokumenty\OI\Vzorov&#225;%20ZD\R%20-%20Zhotoven&#237;%20stavby\R_Zhotoven&#237;_stavby_FIDIC_(nadlimitn&#237;)\R-FIDIC_OPD2\www.sfdi.cz\poskytovani-informaci\metodik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113B62"/>
    <w:rsid w:val="001C31D8"/>
    <w:rsid w:val="00244589"/>
    <w:rsid w:val="004E1BAE"/>
    <w:rsid w:val="0060601F"/>
    <w:rsid w:val="00750732"/>
    <w:rsid w:val="007A0A06"/>
    <w:rsid w:val="007A3A51"/>
    <w:rsid w:val="00925F86"/>
    <w:rsid w:val="00961D69"/>
    <w:rsid w:val="00C60C5E"/>
    <w:rsid w:val="00CF29AD"/>
    <w:rsid w:val="00E15339"/>
    <w:rsid w:val="00F16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sharepoint/v3/fields"/>
    <ds:schemaRef ds:uri="http://purl.org/dc/terms/"/>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B58A056-D214-4056-AD49-57EF8D34C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8</Pages>
  <Words>2730</Words>
  <Characters>16111</Characters>
  <Application>Microsoft Office Word</Application>
  <DocSecurity>0</DocSecurity>
  <Lines>134</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2</cp:revision>
  <cp:lastPrinted>2019-07-24T06:01:00Z</cp:lastPrinted>
  <dcterms:created xsi:type="dcterms:W3CDTF">2019-08-26T09:11:00Z</dcterms:created>
  <dcterms:modified xsi:type="dcterms:W3CDTF">2019-08-26T09:11:00Z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